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8B7C" w14:textId="77777777" w:rsidR="007166AE"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079DD8E9" w14:textId="77777777" w:rsidR="007166AE"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Marlborough Primary School (5045)</w:t>
      </w:r>
    </w:p>
    <w:p w14:paraId="4D971359" w14:textId="77777777" w:rsidR="007166AE" w:rsidRPr="008766A4" w:rsidRDefault="00000000" w:rsidP="007166AE">
      <w:pPr>
        <w:pStyle w:val="ESIntroParagraph"/>
        <w:ind w:left="-567" w:right="4330"/>
      </w:pPr>
    </w:p>
    <w:p w14:paraId="37CE19B8" w14:textId="77777777" w:rsidR="007166AE" w:rsidRDefault="00000000" w:rsidP="007166AE">
      <w:pPr>
        <w:pStyle w:val="Heading1"/>
        <w:ind w:left="-567"/>
      </w:pPr>
    </w:p>
    <w:p w14:paraId="78BD8042" w14:textId="77777777" w:rsidR="007166AE" w:rsidRDefault="00000000" w:rsidP="007166AE">
      <w:pPr>
        <w:pStyle w:val="ESHeading2"/>
      </w:pPr>
    </w:p>
    <w:p w14:paraId="18EE4AB5" w14:textId="77777777" w:rsidR="007166AE" w:rsidRDefault="00000000" w:rsidP="007166AE">
      <w:pPr>
        <w:pStyle w:val="ESHeading2"/>
      </w:pPr>
    </w:p>
    <w:p w14:paraId="08B4B66F" w14:textId="77777777" w:rsidR="007166AE" w:rsidRDefault="00000000" w:rsidP="007166AE">
      <w:pPr>
        <w:pStyle w:val="ESHeading2"/>
      </w:pPr>
    </w:p>
    <w:p w14:paraId="17C7680A" w14:textId="77777777" w:rsidR="007166AE" w:rsidRDefault="00000000" w:rsidP="007166AE">
      <w:pPr>
        <w:pStyle w:val="ESHeading2"/>
      </w:pPr>
    </w:p>
    <w:p w14:paraId="57EF0573" w14:textId="77777777" w:rsidR="007166AE" w:rsidRDefault="00000000" w:rsidP="007166AE">
      <w:pPr>
        <w:pStyle w:val="ESHeading2"/>
      </w:pPr>
    </w:p>
    <w:p w14:paraId="07B0E100" w14:textId="77777777" w:rsidR="007166AE" w:rsidRDefault="00000000" w:rsidP="007166AE">
      <w:pPr>
        <w:pStyle w:val="ESHeading2"/>
      </w:pPr>
    </w:p>
    <w:p w14:paraId="27B476C6" w14:textId="77777777" w:rsidR="007166AE"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63430EAE" wp14:editId="1E97187B">
            <wp:simplePos x="0" y="0"/>
            <wp:positionH relativeFrom="page">
              <wp:align>center</wp:align>
            </wp:positionH>
            <wp:positionV relativeFrom="paragraph">
              <wp:posOffset>0</wp:posOffset>
            </wp:positionV>
            <wp:extent cx="3810532" cy="2305372"/>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2305372"/>
                    </a:xfrm>
                    <a:prstGeom prst="rect">
                      <a:avLst/>
                    </a:prstGeom>
                  </pic:spPr>
                </pic:pic>
              </a:graphicData>
            </a:graphic>
          </wp:anchor>
        </w:drawing>
      </w:r>
    </w:p>
    <w:p w14:paraId="513D3F21" w14:textId="77777777" w:rsidR="007166AE"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2592F669" wp14:editId="1203D7D0">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7E2C1F0" w14:textId="77777777" w:rsidR="007166AE" w:rsidRDefault="00000000" w:rsidP="007166AE">
                            <w:pPr>
                              <w:pStyle w:val="ESBodyText"/>
                            </w:pPr>
                            <w:r>
                              <w:rPr>
                                <w:noProof/>
                              </w:rPr>
                              <w:t>Submitted for review by Sharon Jacobs (School Principal) on 28 March, 2023 at 12:39 PM</w:t>
                            </w:r>
                            <w:r>
                              <w:rPr>
                                <w:noProof/>
                              </w:rPr>
                              <w:br/>
                              <w:t>Endorsed by Kerrie Anderson (Senior Education Improvement Leader) on 24 April, 2023 at 11:50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2592F669"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17E2C1F0" w14:textId="77777777" w:rsidR="007166AE" w:rsidRDefault="00000000" w:rsidP="007166AE">
                      <w:pPr>
                        <w:pStyle w:val="ESBodyText"/>
                      </w:pPr>
                      <w:r>
                        <w:rPr>
                          <w:noProof/>
                        </w:rPr>
                        <w:t>Submitted for review by Sharon Jacobs (School Principal) on 28 March, 2023 at 12:39 PM</w:t>
                      </w:r>
                      <w:r>
                        <w:rPr>
                          <w:noProof/>
                        </w:rPr>
                        <w:br/>
                        <w:t>Endorsed by Kerrie Anderson (Senior Education Improvement Leader) on 24 April, 2023 at 11:50 AM</w:t>
                      </w:r>
                      <w:r>
                        <w:rPr>
                          <w:noProof/>
                        </w:rPr>
                        <w:br/>
                        <w:t>Awaiting endorsement by School Council President</w:t>
                      </w:r>
                      <w:r>
                        <w:rPr>
                          <w:noProof/>
                        </w:rPr>
                        <w:br/>
                      </w:r>
                    </w:p>
                  </w:txbxContent>
                </v:textbox>
                <w10:wrap anchorx="margin" anchory="margin"/>
                <w10:anchorlock/>
              </v:shape>
            </w:pict>
          </mc:Fallback>
        </mc:AlternateContent>
      </w:r>
    </w:p>
    <w:p w14:paraId="35ABAD7B" w14:textId="77777777" w:rsidR="007166AE"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162B0F05" w14:textId="77777777" w:rsidR="007166AE"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Marlborough Primary School (5045)</w:t>
      </w:r>
    </w:p>
    <w:p w14:paraId="0CEBE34C" w14:textId="77777777" w:rsidR="007166AE"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466FE6" w14:paraId="3297CAF5" w14:textId="77777777" w:rsidTr="009B10A5">
        <w:trPr>
          <w:trHeight w:val="110"/>
        </w:trPr>
        <w:tc>
          <w:tcPr>
            <w:tcW w:w="3119" w:type="dxa"/>
            <w:shd w:val="clear" w:color="auto" w:fill="D9D9D9" w:themeFill="background1" w:themeFillShade="D9"/>
          </w:tcPr>
          <w:p w14:paraId="507BA217" w14:textId="77777777" w:rsidR="007166AE"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32063123" w14:textId="77777777" w:rsidR="007166AE" w:rsidRPr="004365C8" w:rsidRDefault="00000000" w:rsidP="009B10A5">
            <w:pPr>
              <w:pStyle w:val="ESBodyText"/>
              <w:spacing w:after="0"/>
              <w:rPr>
                <w:color w:val="FFFFFF" w:themeColor="background1"/>
                <w:sz w:val="20"/>
                <w:szCs w:val="24"/>
              </w:rPr>
            </w:pPr>
            <w:r>
              <w:rPr>
                <w:sz w:val="20"/>
              </w:rPr>
              <w:t xml:space="preserve">Marlborough Primary School’s vision is that we are a community centred on well-being where students are empowered and build skills for life to achieve their personal best.  </w:t>
            </w:r>
          </w:p>
        </w:tc>
      </w:tr>
      <w:tr w:rsidR="00466FE6" w14:paraId="47B26F64" w14:textId="77777777" w:rsidTr="009B10A5">
        <w:trPr>
          <w:trHeight w:val="15"/>
        </w:trPr>
        <w:tc>
          <w:tcPr>
            <w:tcW w:w="3119" w:type="dxa"/>
            <w:shd w:val="clear" w:color="auto" w:fill="D9D9D9" w:themeFill="background1" w:themeFillShade="D9"/>
          </w:tcPr>
          <w:p w14:paraId="0451D82C" w14:textId="77777777" w:rsidR="007166AE"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52DEC82E" w14:textId="77777777" w:rsidR="007166AE" w:rsidRPr="00FE3D5C" w:rsidRDefault="00000000" w:rsidP="009B10A5">
            <w:pPr>
              <w:pStyle w:val="ESBodyText"/>
              <w:spacing w:after="0"/>
              <w:rPr>
                <w:sz w:val="20"/>
                <w:szCs w:val="24"/>
              </w:rPr>
            </w:pPr>
            <w:r>
              <w:rPr>
                <w:sz w:val="20"/>
              </w:rPr>
              <w:t>Marlborough Primary School values are Respect, Responsibility and Inclusion. At Marlborough Primary School, we are: Responsible learners, Respectful in our behaviour and Inclusive in the community.</w:t>
            </w:r>
          </w:p>
        </w:tc>
      </w:tr>
      <w:tr w:rsidR="00466FE6" w14:paraId="442B5C48" w14:textId="77777777" w:rsidTr="009B10A5">
        <w:trPr>
          <w:trHeight w:val="15"/>
        </w:trPr>
        <w:tc>
          <w:tcPr>
            <w:tcW w:w="3119" w:type="dxa"/>
            <w:shd w:val="clear" w:color="auto" w:fill="D9D9D9" w:themeFill="background1" w:themeFillShade="D9"/>
          </w:tcPr>
          <w:p w14:paraId="236831A3" w14:textId="77777777" w:rsidR="007166AE"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6F44F9AD" w14:textId="77777777" w:rsidR="007166AE" w:rsidRPr="00FE3D5C" w:rsidRDefault="00000000" w:rsidP="009B10A5">
            <w:pPr>
              <w:pStyle w:val="ESBodyText"/>
              <w:spacing w:after="0"/>
              <w:rPr>
                <w:sz w:val="20"/>
                <w:szCs w:val="24"/>
              </w:rPr>
            </w:pPr>
            <w:r>
              <w:rPr>
                <w:sz w:val="20"/>
              </w:rPr>
              <w:t>From the 2022 Review, challenges identified were lack of whole school vision, inconsistent leadership structures, whole school curriculum initiatives and lack of a calm and orderly environment. The overarching challenge has been  a lack of whole school consistency and cohesion.</w:t>
            </w:r>
          </w:p>
        </w:tc>
      </w:tr>
      <w:tr w:rsidR="00466FE6" w14:paraId="5AF00205" w14:textId="77777777" w:rsidTr="009B10A5">
        <w:trPr>
          <w:trHeight w:val="15"/>
        </w:trPr>
        <w:tc>
          <w:tcPr>
            <w:tcW w:w="3119" w:type="dxa"/>
            <w:shd w:val="clear" w:color="auto" w:fill="D9D9D9" w:themeFill="background1" w:themeFillShade="D9"/>
          </w:tcPr>
          <w:p w14:paraId="4E800880" w14:textId="77777777" w:rsidR="007166AE" w:rsidRPr="001D6EDC" w:rsidRDefault="00000000" w:rsidP="009B10A5">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20D3083E" w14:textId="77777777" w:rsidR="007166AE" w:rsidRPr="00FE3D5C" w:rsidRDefault="00000000" w:rsidP="009B10A5">
            <w:pPr>
              <w:pStyle w:val="ESBodyText"/>
              <w:spacing w:after="0"/>
              <w:rPr>
                <w:sz w:val="20"/>
                <w:szCs w:val="24"/>
              </w:rPr>
            </w:pPr>
            <w:r>
              <w:rPr>
                <w:sz w:val="20"/>
              </w:rPr>
              <w:t>The school is trying to achieve whole school consistency, building the capacity of teachers and leaders to lead the learning of students and for students to have agency in their learning.</w:t>
            </w:r>
          </w:p>
        </w:tc>
      </w:tr>
    </w:tbl>
    <w:p w14:paraId="448A6F4E" w14:textId="77777777" w:rsidR="007166AE" w:rsidRDefault="00000000" w:rsidP="007166AE">
      <w:pPr>
        <w:pStyle w:val="ESIntroParagraph"/>
        <w:ind w:left="-567" w:right="1708" w:firstLine="27"/>
        <w:rPr>
          <w:color w:val="595959" w:themeColor="text1" w:themeTint="A6"/>
        </w:rPr>
      </w:pPr>
    </w:p>
    <w:p w14:paraId="0DDCD5FC" w14:textId="77777777" w:rsidR="007166AE" w:rsidRDefault="00000000" w:rsidP="007166AE">
      <w:pPr>
        <w:pStyle w:val="ESIntroParagraph"/>
        <w:ind w:left="-567" w:right="1708" w:firstLine="27"/>
        <w:rPr>
          <w:color w:val="595959" w:themeColor="text1" w:themeTint="A6"/>
        </w:rPr>
      </w:pPr>
    </w:p>
    <w:p w14:paraId="6C09E56F" w14:textId="77777777" w:rsidR="007166AE" w:rsidRDefault="00000000" w:rsidP="007166AE">
      <w:pPr>
        <w:pStyle w:val="ESIntroParagraph"/>
        <w:ind w:left="-567" w:right="1708" w:firstLine="27"/>
        <w:rPr>
          <w:color w:val="595959" w:themeColor="text1" w:themeTint="A6"/>
          <w:sz w:val="24"/>
          <w:szCs w:val="24"/>
        </w:rPr>
      </w:pPr>
    </w:p>
    <w:p w14:paraId="52B3B8B4" w14:textId="77777777" w:rsidR="007166AE" w:rsidRDefault="00000000" w:rsidP="007166AE">
      <w:pPr>
        <w:pStyle w:val="ESIntroParagraph"/>
        <w:ind w:left="-567" w:right="1708" w:firstLine="27"/>
        <w:rPr>
          <w:color w:val="595959" w:themeColor="text1" w:themeTint="A6"/>
          <w:sz w:val="24"/>
          <w:szCs w:val="24"/>
        </w:rPr>
      </w:pPr>
    </w:p>
    <w:p w14:paraId="53C1A216" w14:textId="77777777" w:rsidR="007166AE" w:rsidRPr="00722E21" w:rsidRDefault="00000000" w:rsidP="007166AE">
      <w:pPr>
        <w:pStyle w:val="ESIntroParagraph"/>
        <w:ind w:left="-567" w:right="1708" w:firstLine="27"/>
        <w:rPr>
          <w:color w:val="595959" w:themeColor="text1" w:themeTint="A6"/>
          <w:sz w:val="20"/>
          <w:szCs w:val="20"/>
        </w:rPr>
      </w:pPr>
    </w:p>
    <w:p w14:paraId="467417E2" w14:textId="77777777" w:rsidR="007166AE"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6EC51689" w14:textId="77777777" w:rsidR="007166AE"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19FE7305" w14:textId="77777777" w:rsidR="007166AE" w:rsidRDefault="00000000" w:rsidP="007166AE">
      <w:pPr>
        <w:ind w:left="-540" w:right="-632"/>
        <w:rPr>
          <w:color w:val="595959" w:themeColor="text1" w:themeTint="A6"/>
          <w:sz w:val="28"/>
          <w:szCs w:val="28"/>
        </w:rPr>
      </w:pPr>
      <w:r w:rsidRPr="00FA10DB">
        <w:rPr>
          <w:noProof/>
          <w:color w:val="595959" w:themeColor="text1" w:themeTint="A6"/>
          <w:sz w:val="28"/>
          <w:szCs w:val="28"/>
        </w:rPr>
        <w:t>Marlborough Primary School (5045)</w:t>
      </w:r>
    </w:p>
    <w:p w14:paraId="518F33FF" w14:textId="77777777" w:rsidR="007166AE"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66FE6" w14:paraId="4E4AA61B" w14:textId="77777777" w:rsidTr="009B10A5">
        <w:trPr>
          <w:trHeight w:val="15"/>
        </w:trPr>
        <w:tc>
          <w:tcPr>
            <w:tcW w:w="4055" w:type="dxa"/>
            <w:shd w:val="clear" w:color="auto" w:fill="D9D9D9" w:themeFill="background1" w:themeFillShade="D9"/>
          </w:tcPr>
          <w:p w14:paraId="7DCAABC7" w14:textId="77777777" w:rsidR="007166AE"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632CF1F1" w14:textId="77777777" w:rsidR="007166AE" w:rsidRDefault="00000000" w:rsidP="009B10A5">
            <w:pPr>
              <w:pStyle w:val="ESBodyText"/>
              <w:spacing w:after="0"/>
              <w:rPr>
                <w:sz w:val="20"/>
                <w:szCs w:val="24"/>
              </w:rPr>
            </w:pPr>
            <w:r>
              <w:rPr>
                <w:sz w:val="20"/>
                <w:szCs w:val="24"/>
              </w:rPr>
              <w:t>To improve student learning achievement and growth in literacy</w:t>
            </w:r>
          </w:p>
        </w:tc>
      </w:tr>
      <w:tr w:rsidR="00466FE6" w14:paraId="6C75DD01" w14:textId="77777777" w:rsidTr="009B10A5">
        <w:trPr>
          <w:trHeight w:val="15"/>
        </w:trPr>
        <w:tc>
          <w:tcPr>
            <w:tcW w:w="4055" w:type="dxa"/>
            <w:shd w:val="clear" w:color="auto" w:fill="D9D9D9" w:themeFill="background1" w:themeFillShade="D9"/>
          </w:tcPr>
          <w:p w14:paraId="20D347CE" w14:textId="77777777" w:rsidR="007166AE" w:rsidRDefault="00000000" w:rsidP="009B10A5">
            <w:pPr>
              <w:pStyle w:val="Heading3"/>
              <w:spacing w:before="0" w:after="0"/>
              <w:rPr>
                <w:szCs w:val="20"/>
              </w:rPr>
            </w:pPr>
            <w:r>
              <w:rPr>
                <w:szCs w:val="20"/>
              </w:rPr>
              <w:t>Target 1.1</w:t>
            </w:r>
          </w:p>
        </w:tc>
        <w:tc>
          <w:tcPr>
            <w:tcW w:w="11060" w:type="dxa"/>
            <w:shd w:val="clear" w:color="auto" w:fill="FFFFFF" w:themeFill="background1"/>
          </w:tcPr>
          <w:p w14:paraId="64767630"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NAPLAN Benchmark Growth Year 5</w:t>
            </w:r>
          </w:p>
          <w:p w14:paraId="2FA0ECCD" w14:textId="77777777" w:rsidR="00466FE6"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To improve two year moving average above Benchmark growth from 21% 2021 to 30% 2026</w:t>
            </w:r>
          </w:p>
          <w:p w14:paraId="4BA93463" w14:textId="77777777" w:rsidR="00466FE6" w:rsidRDefault="00000000">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To improve two year moving average above Benchmark growth from 33% 2021 to 40% 2026 </w:t>
            </w:r>
          </w:p>
          <w:p w14:paraId="354B917B" w14:textId="77777777" w:rsidR="00466FE6"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Note: Benchmark calculated by combining 2019 and 2021 NAPLAN</w:t>
            </w:r>
          </w:p>
          <w:p w14:paraId="2F18FB85" w14:textId="77777777" w:rsidR="00466FE6" w:rsidRDefault="00466FE6"/>
        </w:tc>
      </w:tr>
      <w:tr w:rsidR="00466FE6" w14:paraId="41150801" w14:textId="77777777" w:rsidTr="009B10A5">
        <w:trPr>
          <w:trHeight w:val="15"/>
        </w:trPr>
        <w:tc>
          <w:tcPr>
            <w:tcW w:w="4055" w:type="dxa"/>
            <w:shd w:val="clear" w:color="auto" w:fill="D9D9D9" w:themeFill="background1" w:themeFillShade="D9"/>
          </w:tcPr>
          <w:p w14:paraId="00AC5858" w14:textId="77777777" w:rsidR="007166AE" w:rsidRDefault="00000000" w:rsidP="009B10A5">
            <w:pPr>
              <w:pStyle w:val="Heading3"/>
              <w:spacing w:before="0" w:after="0"/>
              <w:rPr>
                <w:szCs w:val="20"/>
              </w:rPr>
            </w:pPr>
            <w:r>
              <w:rPr>
                <w:szCs w:val="20"/>
              </w:rPr>
              <w:t>Target 1.2</w:t>
            </w:r>
          </w:p>
        </w:tc>
        <w:tc>
          <w:tcPr>
            <w:tcW w:w="11060" w:type="dxa"/>
            <w:shd w:val="clear" w:color="auto" w:fill="FFFFFF" w:themeFill="background1"/>
          </w:tcPr>
          <w:p w14:paraId="6EC5C783"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top two bands NAPLAN Year 3 reading from 38% 2022 to 55% 2026</w:t>
            </w:r>
          </w:p>
          <w:p w14:paraId="3483D87D" w14:textId="77777777" w:rsidR="00466FE6" w:rsidRDefault="00466FE6"/>
        </w:tc>
      </w:tr>
      <w:tr w:rsidR="00466FE6" w14:paraId="0923AD8C" w14:textId="77777777" w:rsidTr="009B10A5">
        <w:trPr>
          <w:trHeight w:val="15"/>
        </w:trPr>
        <w:tc>
          <w:tcPr>
            <w:tcW w:w="4055" w:type="dxa"/>
            <w:shd w:val="clear" w:color="auto" w:fill="D9D9D9" w:themeFill="background1" w:themeFillShade="D9"/>
          </w:tcPr>
          <w:p w14:paraId="5EE0EAF9" w14:textId="77777777" w:rsidR="007166AE" w:rsidRDefault="00000000" w:rsidP="009B10A5">
            <w:pPr>
              <w:pStyle w:val="Heading3"/>
              <w:spacing w:before="0" w:after="0"/>
              <w:rPr>
                <w:szCs w:val="20"/>
              </w:rPr>
            </w:pPr>
            <w:r>
              <w:rPr>
                <w:szCs w:val="20"/>
              </w:rPr>
              <w:t>Target 1.3</w:t>
            </w:r>
          </w:p>
        </w:tc>
        <w:tc>
          <w:tcPr>
            <w:tcW w:w="11060" w:type="dxa"/>
            <w:shd w:val="clear" w:color="auto" w:fill="FFFFFF" w:themeFill="background1"/>
          </w:tcPr>
          <w:p w14:paraId="75A33FC6" w14:textId="77777777" w:rsidR="00466FE6"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Improve teacher judgement above expected level across F to 6 in Writing from 14% 2021 to 30% 2026.</w:t>
            </w:r>
          </w:p>
          <w:p w14:paraId="12D28FA9" w14:textId="77777777" w:rsidR="00466FE6" w:rsidRDefault="00000000">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Improve teacher judgements above expected level across F to 6 in Reading from 22% 2021 to 35% 2026</w:t>
            </w:r>
          </w:p>
          <w:p w14:paraId="32DDFC45" w14:textId="77777777" w:rsidR="00466FE6" w:rsidRDefault="00466FE6"/>
        </w:tc>
      </w:tr>
      <w:tr w:rsidR="00466FE6" w14:paraId="79B66975" w14:textId="77777777" w:rsidTr="009B10A5">
        <w:trPr>
          <w:trHeight w:val="15"/>
        </w:trPr>
        <w:tc>
          <w:tcPr>
            <w:tcW w:w="4055" w:type="dxa"/>
            <w:shd w:val="clear" w:color="auto" w:fill="D9D9D9" w:themeFill="background1" w:themeFillShade="D9"/>
          </w:tcPr>
          <w:p w14:paraId="38C59C77" w14:textId="77777777" w:rsidR="007166AE" w:rsidRDefault="00000000" w:rsidP="009B10A5">
            <w:pPr>
              <w:pStyle w:val="Heading3"/>
              <w:spacing w:before="0" w:after="0"/>
              <w:rPr>
                <w:szCs w:val="20"/>
              </w:rPr>
            </w:pPr>
            <w:r>
              <w:rPr>
                <w:szCs w:val="20"/>
              </w:rPr>
              <w:t>Target 1.4</w:t>
            </w:r>
          </w:p>
        </w:tc>
        <w:tc>
          <w:tcPr>
            <w:tcW w:w="11060" w:type="dxa"/>
            <w:shd w:val="clear" w:color="auto" w:fill="FFFFFF" w:themeFill="background1"/>
          </w:tcPr>
          <w:p w14:paraId="10105B73"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improve the percentage positive endorsement on the School Staff Survey for the factor Collective Efficacy from 56% in 2021 to 75%.</w:t>
            </w:r>
          </w:p>
          <w:p w14:paraId="5E90F290" w14:textId="77777777" w:rsidR="00466FE6" w:rsidRDefault="00466FE6"/>
        </w:tc>
      </w:tr>
      <w:tr w:rsidR="00466FE6" w14:paraId="0572B7AC" w14:textId="77777777" w:rsidTr="009B10A5">
        <w:trPr>
          <w:trHeight w:val="15"/>
        </w:trPr>
        <w:tc>
          <w:tcPr>
            <w:tcW w:w="4055" w:type="dxa"/>
            <w:shd w:val="clear" w:color="auto" w:fill="62BFEB"/>
          </w:tcPr>
          <w:p w14:paraId="65F8A3F7" w14:textId="77777777" w:rsidR="007166AE" w:rsidRDefault="00000000" w:rsidP="009B10A5">
            <w:pPr>
              <w:pStyle w:val="Heading3"/>
              <w:spacing w:before="0" w:after="0"/>
              <w:rPr>
                <w:szCs w:val="20"/>
              </w:rPr>
            </w:pPr>
            <w:r>
              <w:rPr>
                <w:szCs w:val="20"/>
              </w:rPr>
              <w:t>Key Improvement Strategy 1.a</w:t>
            </w:r>
          </w:p>
          <w:p w14:paraId="0EB71B51" w14:textId="77777777" w:rsidR="00466FE6" w:rsidRDefault="00000000">
            <w:r>
              <w:rPr>
                <w:sz w:val="20"/>
              </w:rPr>
              <w:t xml:space="preserve">Documented teaching and learning program based on the Victorian Curriculum </w:t>
            </w:r>
            <w:r>
              <w:rPr>
                <w:sz w:val="20"/>
              </w:rPr>
              <w:lastRenderedPageBreak/>
              <w:t xml:space="preserve">and senior secondary pathways, incorporating extra-curricula programs </w:t>
            </w:r>
          </w:p>
        </w:tc>
        <w:tc>
          <w:tcPr>
            <w:tcW w:w="11060" w:type="dxa"/>
            <w:shd w:val="clear" w:color="auto" w:fill="FFFFFF" w:themeFill="background1"/>
          </w:tcPr>
          <w:p w14:paraId="219FAB13" w14:textId="77777777" w:rsidR="007166AE" w:rsidRPr="00FE3D5C" w:rsidRDefault="00000000" w:rsidP="009B10A5">
            <w:pPr>
              <w:pStyle w:val="ESBodyText"/>
              <w:spacing w:after="0"/>
              <w:rPr>
                <w:sz w:val="20"/>
                <w:szCs w:val="24"/>
              </w:rPr>
            </w:pPr>
            <w:r>
              <w:rPr>
                <w:sz w:val="20"/>
              </w:rPr>
              <w:lastRenderedPageBreak/>
              <w:t xml:space="preserve">Develop and embed consistent, whole school approaches to literacy. </w:t>
            </w:r>
          </w:p>
        </w:tc>
      </w:tr>
      <w:tr w:rsidR="00466FE6" w14:paraId="29903868" w14:textId="77777777" w:rsidTr="009B10A5">
        <w:trPr>
          <w:trHeight w:val="15"/>
        </w:trPr>
        <w:tc>
          <w:tcPr>
            <w:tcW w:w="4055" w:type="dxa"/>
            <w:shd w:val="clear" w:color="auto" w:fill="FFCA08"/>
          </w:tcPr>
          <w:p w14:paraId="1CFCE4B4" w14:textId="77777777" w:rsidR="007166AE" w:rsidRDefault="00000000" w:rsidP="009B10A5">
            <w:pPr>
              <w:pStyle w:val="Heading3"/>
              <w:spacing w:before="0" w:after="0"/>
              <w:rPr>
                <w:szCs w:val="20"/>
              </w:rPr>
            </w:pPr>
            <w:r>
              <w:rPr>
                <w:szCs w:val="20"/>
              </w:rPr>
              <w:t>Key Improvement Strategy 1.b</w:t>
            </w:r>
          </w:p>
          <w:p w14:paraId="2CDE8F1B" w14:textId="77777777" w:rsidR="00466FE6"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7124BDBF" w14:textId="77777777" w:rsidR="007166AE" w:rsidRPr="00FE3D5C" w:rsidRDefault="00000000" w:rsidP="009B10A5">
            <w:pPr>
              <w:pStyle w:val="ESBodyText"/>
              <w:spacing w:after="0"/>
              <w:rPr>
                <w:sz w:val="20"/>
                <w:szCs w:val="24"/>
              </w:rPr>
            </w:pPr>
            <w:r>
              <w:rPr>
                <w:sz w:val="20"/>
              </w:rPr>
              <w:t>Build teacher capacity in the teaching and assessment of all areas of literacy.</w:t>
            </w:r>
          </w:p>
        </w:tc>
      </w:tr>
      <w:tr w:rsidR="00466FE6" w14:paraId="0E4AEB7A" w14:textId="77777777" w:rsidTr="009B10A5">
        <w:trPr>
          <w:trHeight w:val="15"/>
        </w:trPr>
        <w:tc>
          <w:tcPr>
            <w:tcW w:w="4055" w:type="dxa"/>
            <w:shd w:val="clear" w:color="auto" w:fill="FFCA08"/>
          </w:tcPr>
          <w:p w14:paraId="1CD0B68A" w14:textId="77777777" w:rsidR="007166AE" w:rsidRDefault="00000000" w:rsidP="009B10A5">
            <w:pPr>
              <w:pStyle w:val="Heading3"/>
              <w:spacing w:before="0" w:after="0"/>
              <w:rPr>
                <w:szCs w:val="20"/>
              </w:rPr>
            </w:pPr>
            <w:r>
              <w:rPr>
                <w:szCs w:val="20"/>
              </w:rPr>
              <w:t>Key Improvement Strategy 1.c</w:t>
            </w:r>
          </w:p>
          <w:p w14:paraId="0DF78DEC" w14:textId="77777777" w:rsidR="00466FE6"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6D0C5CA4" w14:textId="77777777" w:rsidR="007166AE" w:rsidRPr="00FE3D5C" w:rsidRDefault="00000000" w:rsidP="009B10A5">
            <w:pPr>
              <w:pStyle w:val="ESBodyText"/>
              <w:spacing w:after="0"/>
              <w:rPr>
                <w:sz w:val="20"/>
                <w:szCs w:val="24"/>
              </w:rPr>
            </w:pPr>
            <w:r>
              <w:rPr>
                <w:sz w:val="20"/>
              </w:rPr>
              <w:t>Build staff capacity to use data across the school to inform teaching practice in literacy.</w:t>
            </w:r>
          </w:p>
        </w:tc>
      </w:tr>
      <w:tr w:rsidR="00466FE6" w14:paraId="698793B4" w14:textId="77777777" w:rsidTr="009B10A5">
        <w:trPr>
          <w:trHeight w:val="15"/>
        </w:trPr>
        <w:tc>
          <w:tcPr>
            <w:tcW w:w="4055" w:type="dxa"/>
            <w:shd w:val="clear" w:color="auto" w:fill="D9D9D9" w:themeFill="background1" w:themeFillShade="D9"/>
          </w:tcPr>
          <w:p w14:paraId="6B387060" w14:textId="77777777" w:rsidR="007166AE"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6F3BF088" w14:textId="77777777" w:rsidR="007166AE" w:rsidRDefault="00000000" w:rsidP="009B10A5">
            <w:pPr>
              <w:pStyle w:val="ESBodyText"/>
              <w:spacing w:after="0"/>
              <w:rPr>
                <w:sz w:val="20"/>
                <w:szCs w:val="24"/>
              </w:rPr>
            </w:pPr>
            <w:r>
              <w:rPr>
                <w:sz w:val="20"/>
                <w:szCs w:val="24"/>
              </w:rPr>
              <w:t>To improve student learning achievement and growth in Numeracy</w:t>
            </w:r>
          </w:p>
        </w:tc>
      </w:tr>
      <w:tr w:rsidR="00466FE6" w14:paraId="24A47B2E" w14:textId="77777777" w:rsidTr="009B10A5">
        <w:trPr>
          <w:trHeight w:val="15"/>
        </w:trPr>
        <w:tc>
          <w:tcPr>
            <w:tcW w:w="4055" w:type="dxa"/>
            <w:shd w:val="clear" w:color="auto" w:fill="D9D9D9" w:themeFill="background1" w:themeFillShade="D9"/>
          </w:tcPr>
          <w:p w14:paraId="113A5BCD" w14:textId="77777777" w:rsidR="007166AE" w:rsidRDefault="00000000" w:rsidP="009B10A5">
            <w:pPr>
              <w:pStyle w:val="Heading3"/>
              <w:spacing w:before="0" w:after="0"/>
              <w:rPr>
                <w:szCs w:val="20"/>
              </w:rPr>
            </w:pPr>
            <w:r>
              <w:rPr>
                <w:szCs w:val="20"/>
              </w:rPr>
              <w:t>Target 2.1</w:t>
            </w:r>
          </w:p>
        </w:tc>
        <w:tc>
          <w:tcPr>
            <w:tcW w:w="11060" w:type="dxa"/>
            <w:shd w:val="clear" w:color="auto" w:fill="FFFFFF" w:themeFill="background1"/>
          </w:tcPr>
          <w:p w14:paraId="06E0812C" w14:textId="77777777" w:rsidR="00466FE6"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improve the top two bands in NAPLAN Numeracy in year 3 from 30% 2022 to 45% 2026.</w:t>
            </w:r>
          </w:p>
          <w:p w14:paraId="6DC82336" w14:textId="77777777" w:rsidR="00466FE6" w:rsidRDefault="00000000">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improve the top two bands in NAPLAN Numeracy in year 5 from 18% 2022 to 35% 2026.</w:t>
            </w:r>
          </w:p>
          <w:p w14:paraId="31FBD198" w14:textId="77777777" w:rsidR="00466FE6" w:rsidRDefault="00466FE6"/>
        </w:tc>
      </w:tr>
      <w:tr w:rsidR="00466FE6" w14:paraId="6AE050F4" w14:textId="77777777" w:rsidTr="009B10A5">
        <w:trPr>
          <w:trHeight w:val="15"/>
        </w:trPr>
        <w:tc>
          <w:tcPr>
            <w:tcW w:w="4055" w:type="dxa"/>
            <w:shd w:val="clear" w:color="auto" w:fill="D9D9D9" w:themeFill="background1" w:themeFillShade="D9"/>
          </w:tcPr>
          <w:p w14:paraId="551647B6" w14:textId="77777777" w:rsidR="007166AE" w:rsidRDefault="00000000" w:rsidP="009B10A5">
            <w:pPr>
              <w:pStyle w:val="Heading3"/>
              <w:spacing w:before="0" w:after="0"/>
              <w:rPr>
                <w:szCs w:val="20"/>
              </w:rPr>
            </w:pPr>
            <w:r>
              <w:rPr>
                <w:szCs w:val="20"/>
              </w:rPr>
              <w:t>Target 2.2</w:t>
            </w:r>
          </w:p>
        </w:tc>
        <w:tc>
          <w:tcPr>
            <w:tcW w:w="11060" w:type="dxa"/>
            <w:shd w:val="clear" w:color="auto" w:fill="FFFFFF" w:themeFill="background1"/>
          </w:tcPr>
          <w:p w14:paraId="52C9ED34"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teacher judgements above expected level in number and algebra from 24% in 2021 to 35% in 2026.</w:t>
            </w:r>
          </w:p>
          <w:p w14:paraId="279DC6CC" w14:textId="77777777" w:rsidR="00466FE6" w:rsidRDefault="00466FE6"/>
        </w:tc>
      </w:tr>
      <w:tr w:rsidR="00466FE6" w14:paraId="66B66296" w14:textId="77777777" w:rsidTr="009B10A5">
        <w:trPr>
          <w:trHeight w:val="15"/>
        </w:trPr>
        <w:tc>
          <w:tcPr>
            <w:tcW w:w="4055" w:type="dxa"/>
            <w:shd w:val="clear" w:color="auto" w:fill="D9D9D9" w:themeFill="background1" w:themeFillShade="D9"/>
          </w:tcPr>
          <w:p w14:paraId="3A8EA078" w14:textId="77777777" w:rsidR="007166AE" w:rsidRDefault="00000000" w:rsidP="009B10A5">
            <w:pPr>
              <w:pStyle w:val="Heading3"/>
              <w:spacing w:before="0" w:after="0"/>
              <w:rPr>
                <w:szCs w:val="20"/>
              </w:rPr>
            </w:pPr>
            <w:r>
              <w:rPr>
                <w:szCs w:val="20"/>
              </w:rPr>
              <w:t>Target 2.3</w:t>
            </w:r>
          </w:p>
        </w:tc>
        <w:tc>
          <w:tcPr>
            <w:tcW w:w="11060" w:type="dxa"/>
            <w:shd w:val="clear" w:color="auto" w:fill="FFFFFF" w:themeFill="background1"/>
          </w:tcPr>
          <w:p w14:paraId="0CAEF0F1"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2026, improve the percentage positive endorsement on the School Staff Survey for the factor Academic Emphasis from 44% in 2021 to 65%.</w:t>
            </w:r>
          </w:p>
          <w:p w14:paraId="2E5DFCC2" w14:textId="77777777" w:rsidR="00466FE6" w:rsidRDefault="00466FE6"/>
        </w:tc>
      </w:tr>
      <w:tr w:rsidR="00466FE6" w14:paraId="2E2406B1" w14:textId="77777777" w:rsidTr="009B10A5">
        <w:trPr>
          <w:trHeight w:val="15"/>
        </w:trPr>
        <w:tc>
          <w:tcPr>
            <w:tcW w:w="4055" w:type="dxa"/>
            <w:shd w:val="clear" w:color="auto" w:fill="FFCA08"/>
          </w:tcPr>
          <w:p w14:paraId="7DF0F299" w14:textId="77777777" w:rsidR="007166AE" w:rsidRDefault="00000000" w:rsidP="009B10A5">
            <w:pPr>
              <w:pStyle w:val="Heading3"/>
              <w:spacing w:before="0" w:after="0"/>
              <w:rPr>
                <w:szCs w:val="20"/>
              </w:rPr>
            </w:pPr>
            <w:r>
              <w:rPr>
                <w:szCs w:val="20"/>
              </w:rPr>
              <w:lastRenderedPageBreak/>
              <w:t>Key Improvement Strategy 2.a</w:t>
            </w:r>
          </w:p>
          <w:p w14:paraId="1F97DD2E" w14:textId="77777777" w:rsidR="00466FE6"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200D0275" w14:textId="77777777" w:rsidR="007166AE" w:rsidRPr="00FE3D5C" w:rsidRDefault="00000000" w:rsidP="009B10A5">
            <w:pPr>
              <w:pStyle w:val="ESBodyText"/>
              <w:spacing w:after="0"/>
              <w:rPr>
                <w:sz w:val="20"/>
                <w:szCs w:val="24"/>
              </w:rPr>
            </w:pPr>
            <w:r>
              <w:rPr>
                <w:sz w:val="20"/>
              </w:rPr>
              <w:t xml:space="preserve">Embed whole school curriculum planning and assessment practices in Numeracy.  </w:t>
            </w:r>
          </w:p>
        </w:tc>
      </w:tr>
      <w:tr w:rsidR="00466FE6" w14:paraId="4EA3B8E7" w14:textId="77777777" w:rsidTr="009B10A5">
        <w:trPr>
          <w:trHeight w:val="15"/>
        </w:trPr>
        <w:tc>
          <w:tcPr>
            <w:tcW w:w="4055" w:type="dxa"/>
            <w:shd w:val="clear" w:color="auto" w:fill="AF96B4"/>
          </w:tcPr>
          <w:p w14:paraId="37217304" w14:textId="77777777" w:rsidR="007166AE" w:rsidRDefault="00000000" w:rsidP="009B10A5">
            <w:pPr>
              <w:pStyle w:val="Heading3"/>
              <w:spacing w:before="0" w:after="0"/>
              <w:rPr>
                <w:szCs w:val="20"/>
              </w:rPr>
            </w:pPr>
            <w:r>
              <w:rPr>
                <w:szCs w:val="20"/>
              </w:rPr>
              <w:t>Key Improvement Strategy 2.b</w:t>
            </w:r>
          </w:p>
          <w:p w14:paraId="19463B92" w14:textId="77777777" w:rsidR="00466FE6"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3667FEB8" w14:textId="77777777" w:rsidR="007166AE" w:rsidRPr="00FE3D5C" w:rsidRDefault="00000000" w:rsidP="009B10A5">
            <w:pPr>
              <w:pStyle w:val="ESBodyText"/>
              <w:spacing w:after="0"/>
              <w:rPr>
                <w:sz w:val="20"/>
                <w:szCs w:val="24"/>
              </w:rPr>
            </w:pPr>
            <w:r>
              <w:rPr>
                <w:sz w:val="20"/>
              </w:rPr>
              <w:t>Build capacity of teachers to differentiate learning to meet student needs</w:t>
            </w:r>
          </w:p>
        </w:tc>
      </w:tr>
      <w:tr w:rsidR="00466FE6" w14:paraId="6C636C45" w14:textId="77777777" w:rsidTr="009B10A5">
        <w:trPr>
          <w:trHeight w:val="15"/>
        </w:trPr>
        <w:tc>
          <w:tcPr>
            <w:tcW w:w="4055" w:type="dxa"/>
            <w:shd w:val="clear" w:color="auto" w:fill="62BFEB"/>
          </w:tcPr>
          <w:p w14:paraId="79F94A82" w14:textId="77777777" w:rsidR="007166AE" w:rsidRDefault="00000000" w:rsidP="009B10A5">
            <w:pPr>
              <w:pStyle w:val="Heading3"/>
              <w:spacing w:before="0" w:after="0"/>
              <w:rPr>
                <w:szCs w:val="20"/>
              </w:rPr>
            </w:pPr>
            <w:r>
              <w:rPr>
                <w:szCs w:val="20"/>
              </w:rPr>
              <w:t>Key Improvement Strategy 2.c</w:t>
            </w:r>
          </w:p>
          <w:p w14:paraId="6BAC6033" w14:textId="77777777" w:rsidR="00466FE6"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4EF371D9" w14:textId="77777777" w:rsidR="007166AE" w:rsidRPr="00FE3D5C" w:rsidRDefault="00000000" w:rsidP="009B10A5">
            <w:pPr>
              <w:pStyle w:val="ESBodyText"/>
              <w:spacing w:after="0"/>
              <w:rPr>
                <w:sz w:val="20"/>
                <w:szCs w:val="24"/>
              </w:rPr>
            </w:pPr>
            <w:r>
              <w:rPr>
                <w:sz w:val="20"/>
              </w:rPr>
              <w:t>To develop a culture of Inquiry and problem solving within the School Curriculum.</w:t>
            </w:r>
          </w:p>
        </w:tc>
      </w:tr>
      <w:tr w:rsidR="00466FE6" w14:paraId="0968F754" w14:textId="77777777" w:rsidTr="009B10A5">
        <w:trPr>
          <w:trHeight w:val="15"/>
        </w:trPr>
        <w:tc>
          <w:tcPr>
            <w:tcW w:w="4055" w:type="dxa"/>
            <w:shd w:val="clear" w:color="auto" w:fill="D9D9D9" w:themeFill="background1" w:themeFillShade="D9"/>
          </w:tcPr>
          <w:p w14:paraId="3D3D761F" w14:textId="77777777" w:rsidR="007166AE" w:rsidRPr="001C2589" w:rsidRDefault="00000000" w:rsidP="009B10A5">
            <w:pPr>
              <w:pStyle w:val="Heading3"/>
              <w:spacing w:before="0" w:after="0"/>
              <w:rPr>
                <w:sz w:val="24"/>
                <w:szCs w:val="24"/>
              </w:rPr>
            </w:pPr>
            <w:r w:rsidRPr="001C2589">
              <w:rPr>
                <w:sz w:val="24"/>
                <w:szCs w:val="24"/>
              </w:rPr>
              <w:t>Goal 3</w:t>
            </w:r>
          </w:p>
        </w:tc>
        <w:tc>
          <w:tcPr>
            <w:tcW w:w="11060" w:type="dxa"/>
            <w:shd w:val="clear" w:color="auto" w:fill="FFFFFF" w:themeFill="background1"/>
          </w:tcPr>
          <w:p w14:paraId="79E96231" w14:textId="77777777" w:rsidR="007166AE" w:rsidRDefault="00000000" w:rsidP="009B10A5">
            <w:pPr>
              <w:pStyle w:val="ESBodyText"/>
              <w:spacing w:after="0"/>
              <w:rPr>
                <w:sz w:val="20"/>
                <w:szCs w:val="24"/>
              </w:rPr>
            </w:pPr>
            <w:r>
              <w:rPr>
                <w:sz w:val="20"/>
                <w:szCs w:val="24"/>
              </w:rPr>
              <w:t>To strengthen the connectedness, resilience and wellbeing of all students and staff.</w:t>
            </w:r>
          </w:p>
        </w:tc>
      </w:tr>
      <w:tr w:rsidR="00466FE6" w14:paraId="3E34A41E" w14:textId="77777777" w:rsidTr="009B10A5">
        <w:trPr>
          <w:trHeight w:val="15"/>
        </w:trPr>
        <w:tc>
          <w:tcPr>
            <w:tcW w:w="4055" w:type="dxa"/>
            <w:shd w:val="clear" w:color="auto" w:fill="D9D9D9" w:themeFill="background1" w:themeFillShade="D9"/>
          </w:tcPr>
          <w:p w14:paraId="1AE4F901" w14:textId="77777777" w:rsidR="007166AE" w:rsidRDefault="00000000" w:rsidP="009B10A5">
            <w:pPr>
              <w:pStyle w:val="Heading3"/>
              <w:spacing w:before="0" w:after="0"/>
              <w:rPr>
                <w:szCs w:val="20"/>
              </w:rPr>
            </w:pPr>
            <w:r>
              <w:rPr>
                <w:szCs w:val="20"/>
              </w:rPr>
              <w:t>Target 3.1</w:t>
            </w:r>
          </w:p>
        </w:tc>
        <w:tc>
          <w:tcPr>
            <w:tcW w:w="11060" w:type="dxa"/>
            <w:shd w:val="clear" w:color="auto" w:fill="FFFFFF" w:themeFill="background1"/>
          </w:tcPr>
          <w:p w14:paraId="5D316AA3"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2026, improve the percentage positive endorsement on the School Staff Survey for the staff safety and wellbeing module from 43% in 2021 to 65%.</w:t>
            </w:r>
          </w:p>
          <w:p w14:paraId="4BD4CFCC" w14:textId="77777777" w:rsidR="00466FE6" w:rsidRDefault="00466FE6"/>
        </w:tc>
      </w:tr>
      <w:tr w:rsidR="00466FE6" w14:paraId="7E77E48B" w14:textId="77777777" w:rsidTr="009B10A5">
        <w:trPr>
          <w:trHeight w:val="15"/>
        </w:trPr>
        <w:tc>
          <w:tcPr>
            <w:tcW w:w="4055" w:type="dxa"/>
            <w:shd w:val="clear" w:color="auto" w:fill="D9D9D9" w:themeFill="background1" w:themeFillShade="D9"/>
          </w:tcPr>
          <w:p w14:paraId="0488F908" w14:textId="77777777" w:rsidR="007166AE" w:rsidRDefault="00000000" w:rsidP="009B10A5">
            <w:pPr>
              <w:pStyle w:val="Heading3"/>
              <w:spacing w:before="0" w:after="0"/>
              <w:rPr>
                <w:szCs w:val="20"/>
              </w:rPr>
            </w:pPr>
            <w:r>
              <w:rPr>
                <w:szCs w:val="20"/>
              </w:rPr>
              <w:t>Target 3.2</w:t>
            </w:r>
          </w:p>
        </w:tc>
        <w:tc>
          <w:tcPr>
            <w:tcW w:w="11060" w:type="dxa"/>
            <w:shd w:val="clear" w:color="auto" w:fill="FFFFFF" w:themeFill="background1"/>
          </w:tcPr>
          <w:p w14:paraId="15C64B20"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2026, improve the percentage positive endorsement on the Attitudes to School Survey for the factor 'sense of connectedness' from 67% in 2021 to 80%.</w:t>
            </w:r>
          </w:p>
          <w:p w14:paraId="733CCC56" w14:textId="77777777" w:rsidR="00466FE6" w:rsidRDefault="00466FE6"/>
        </w:tc>
      </w:tr>
      <w:tr w:rsidR="00466FE6" w14:paraId="220B1D31" w14:textId="77777777" w:rsidTr="009B10A5">
        <w:trPr>
          <w:trHeight w:val="15"/>
        </w:trPr>
        <w:tc>
          <w:tcPr>
            <w:tcW w:w="4055" w:type="dxa"/>
            <w:shd w:val="clear" w:color="auto" w:fill="D9D9D9" w:themeFill="background1" w:themeFillShade="D9"/>
          </w:tcPr>
          <w:p w14:paraId="58879883" w14:textId="77777777" w:rsidR="007166AE" w:rsidRDefault="00000000" w:rsidP="009B10A5">
            <w:pPr>
              <w:pStyle w:val="Heading3"/>
              <w:spacing w:before="0" w:after="0"/>
              <w:rPr>
                <w:szCs w:val="20"/>
              </w:rPr>
            </w:pPr>
            <w:r>
              <w:rPr>
                <w:szCs w:val="20"/>
              </w:rPr>
              <w:t>Target 3.3</w:t>
            </w:r>
          </w:p>
        </w:tc>
        <w:tc>
          <w:tcPr>
            <w:tcW w:w="11060" w:type="dxa"/>
            <w:shd w:val="clear" w:color="auto" w:fill="FFFFFF" w:themeFill="background1"/>
          </w:tcPr>
          <w:p w14:paraId="64F2C8B5" w14:textId="77777777" w:rsidR="00466FE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2026, improve the percentage positive endorsement on the Parent Survey for the school communication module from 67% in 2021 to 80%.</w:t>
            </w:r>
          </w:p>
          <w:p w14:paraId="510AAFE7" w14:textId="77777777" w:rsidR="00466FE6" w:rsidRDefault="00466FE6"/>
        </w:tc>
      </w:tr>
      <w:tr w:rsidR="00466FE6" w14:paraId="247B1A01" w14:textId="77777777" w:rsidTr="009B10A5">
        <w:trPr>
          <w:trHeight w:val="15"/>
        </w:trPr>
        <w:tc>
          <w:tcPr>
            <w:tcW w:w="4055" w:type="dxa"/>
            <w:shd w:val="clear" w:color="auto" w:fill="AF96B4"/>
          </w:tcPr>
          <w:p w14:paraId="1F6BA656" w14:textId="77777777" w:rsidR="007166AE" w:rsidRDefault="00000000" w:rsidP="009B10A5">
            <w:pPr>
              <w:pStyle w:val="Heading3"/>
              <w:spacing w:before="0" w:after="0"/>
              <w:rPr>
                <w:szCs w:val="20"/>
              </w:rPr>
            </w:pPr>
            <w:r>
              <w:rPr>
                <w:szCs w:val="20"/>
              </w:rPr>
              <w:lastRenderedPageBreak/>
              <w:t>Key Improvement Strategy 3.a</w:t>
            </w:r>
          </w:p>
          <w:p w14:paraId="7FD8FA4B" w14:textId="77777777" w:rsidR="00466FE6"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42071345" w14:textId="77777777" w:rsidR="007166AE" w:rsidRPr="00FE3D5C" w:rsidRDefault="00000000" w:rsidP="009B10A5">
            <w:pPr>
              <w:pStyle w:val="ESBodyText"/>
              <w:spacing w:after="0"/>
              <w:rPr>
                <w:sz w:val="20"/>
                <w:szCs w:val="24"/>
              </w:rPr>
            </w:pPr>
            <w:r>
              <w:rPr>
                <w:sz w:val="20"/>
              </w:rPr>
              <w:t xml:space="preserve">Embed a whole school agreed approach to student and staff wellbeing that involves all stakeholders - students, teachers and parents/carers. </w:t>
            </w:r>
          </w:p>
        </w:tc>
      </w:tr>
      <w:tr w:rsidR="00466FE6" w14:paraId="5A08B96F" w14:textId="77777777" w:rsidTr="009B10A5">
        <w:trPr>
          <w:trHeight w:val="15"/>
        </w:trPr>
        <w:tc>
          <w:tcPr>
            <w:tcW w:w="4055" w:type="dxa"/>
            <w:shd w:val="clear" w:color="auto" w:fill="D2ACD0"/>
          </w:tcPr>
          <w:p w14:paraId="21A16D56" w14:textId="77777777" w:rsidR="007166AE" w:rsidRDefault="00000000" w:rsidP="009B10A5">
            <w:pPr>
              <w:pStyle w:val="Heading3"/>
              <w:spacing w:before="0" w:after="0"/>
              <w:rPr>
                <w:szCs w:val="20"/>
              </w:rPr>
            </w:pPr>
            <w:r>
              <w:rPr>
                <w:szCs w:val="20"/>
              </w:rPr>
              <w:t>Key Improvement Strategy 3.b</w:t>
            </w:r>
          </w:p>
          <w:p w14:paraId="48EC2EF8" w14:textId="77777777" w:rsidR="00466FE6" w:rsidRDefault="00000000">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27D2B8D0" w14:textId="77777777" w:rsidR="007166AE" w:rsidRPr="00FE3D5C" w:rsidRDefault="00000000" w:rsidP="009B10A5">
            <w:pPr>
              <w:pStyle w:val="ESBodyText"/>
              <w:spacing w:after="0"/>
              <w:rPr>
                <w:sz w:val="20"/>
                <w:szCs w:val="24"/>
              </w:rPr>
            </w:pPr>
            <w:r>
              <w:rPr>
                <w:sz w:val="20"/>
              </w:rPr>
              <w:t>To build teacher and student capacity to develop, monitor and achieve personal student achievement learning goals</w:t>
            </w:r>
          </w:p>
        </w:tc>
      </w:tr>
      <w:tr w:rsidR="00466FE6" w14:paraId="4D71AFAC" w14:textId="77777777" w:rsidTr="009B10A5">
        <w:trPr>
          <w:trHeight w:val="15"/>
        </w:trPr>
        <w:tc>
          <w:tcPr>
            <w:tcW w:w="4055" w:type="dxa"/>
            <w:shd w:val="clear" w:color="auto" w:fill="62BFEB"/>
          </w:tcPr>
          <w:p w14:paraId="1BBEC82B" w14:textId="77777777" w:rsidR="007166AE" w:rsidRDefault="00000000" w:rsidP="009B10A5">
            <w:pPr>
              <w:pStyle w:val="Heading3"/>
              <w:spacing w:before="0" w:after="0"/>
              <w:rPr>
                <w:szCs w:val="20"/>
              </w:rPr>
            </w:pPr>
            <w:r>
              <w:rPr>
                <w:szCs w:val="20"/>
              </w:rPr>
              <w:t>Key Improvement Strategy 3.c</w:t>
            </w:r>
          </w:p>
          <w:p w14:paraId="0111E23B" w14:textId="77777777" w:rsidR="00466FE6"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2620A549" w14:textId="77777777" w:rsidR="007166AE" w:rsidRPr="00FE3D5C" w:rsidRDefault="00000000" w:rsidP="009B10A5">
            <w:pPr>
              <w:pStyle w:val="ESBodyText"/>
              <w:spacing w:after="0"/>
              <w:rPr>
                <w:sz w:val="20"/>
                <w:szCs w:val="24"/>
              </w:rPr>
            </w:pPr>
            <w:r>
              <w:rPr>
                <w:sz w:val="20"/>
              </w:rPr>
              <w:t>To build teacher capacity to provide targeted and timely feedback to students and parents and utilise feedback to inform teaching practices.</w:t>
            </w:r>
          </w:p>
        </w:tc>
      </w:tr>
    </w:tbl>
    <w:p w14:paraId="1D6D29C6" w14:textId="77777777" w:rsidR="007166AE" w:rsidRPr="00FA10DB" w:rsidRDefault="00000000" w:rsidP="007166AE">
      <w:pPr>
        <w:ind w:right="-632"/>
        <w:rPr>
          <w:b/>
          <w:color w:val="AF272F"/>
          <w:sz w:val="36"/>
          <w:szCs w:val="44"/>
        </w:rPr>
      </w:pPr>
    </w:p>
    <w:p w14:paraId="7FE84946" w14:textId="77777777" w:rsidR="00466FE6" w:rsidRDefault="00466FE6"/>
    <w:p w14:paraId="0D4FF30D" w14:textId="77777777" w:rsidR="00466FE6" w:rsidRDefault="00466FE6"/>
    <w:p w14:paraId="4F2BED7F" w14:textId="77777777" w:rsidR="00466FE6" w:rsidRDefault="00466FE6"/>
    <w:sectPr w:rsidR="00466FE6"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0980" w14:textId="77777777" w:rsidR="00A936C5" w:rsidRDefault="00A936C5">
      <w:pPr>
        <w:spacing w:after="0" w:line="240" w:lineRule="auto"/>
      </w:pPr>
      <w:r>
        <w:separator/>
      </w:r>
    </w:p>
  </w:endnote>
  <w:endnote w:type="continuationSeparator" w:id="0">
    <w:p w14:paraId="17FBD12D" w14:textId="77777777" w:rsidR="00A936C5" w:rsidRDefault="00A9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33F8" w14:textId="77777777" w:rsidR="007166AE"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F1D9E09" w14:textId="77777777" w:rsidR="007166AE"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8FB9" w14:textId="77777777" w:rsidR="007166AE" w:rsidRPr="003E29B5" w:rsidRDefault="00000000" w:rsidP="00B076DB">
    <w:r w:rsidRPr="000C104E">
      <w:rPr>
        <w:noProof/>
        <w:lang w:val="en-AU" w:eastAsia="en-AU"/>
      </w:rPr>
      <w:drawing>
        <wp:anchor distT="0" distB="0" distL="114300" distR="114300" simplePos="0" relativeHeight="251674624" behindDoc="1" locked="0" layoutInCell="1" allowOverlap="1" wp14:anchorId="7C8FCF95" wp14:editId="341B9365">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D928" w14:textId="77777777" w:rsidR="007166AE" w:rsidRPr="007839E6" w:rsidRDefault="00000000" w:rsidP="00362A9C">
    <w:pPr>
      <w:pStyle w:val="ESImageorGraphTitle"/>
      <w:rPr>
        <w:b w:val="0"/>
        <w:sz w:val="15"/>
        <w:szCs w:val="15"/>
      </w:rPr>
    </w:pPr>
    <w:r w:rsidRPr="007839E6">
      <w:rPr>
        <w:b w:val="0"/>
        <w:noProof/>
        <w:sz w:val="15"/>
        <w:szCs w:val="15"/>
      </w:rPr>
      <w:t>Marlborough Primary School (5045)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1B5422F2" wp14:editId="05CD6819">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58BFC81E" w14:textId="77777777" w:rsidR="007166AE"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69A7" w14:textId="77777777" w:rsidR="007B2B29" w:rsidRPr="00793BFC" w:rsidRDefault="00000000" w:rsidP="00793BFC">
    <w:pPr>
      <w:pStyle w:val="ESSubheading1"/>
      <w:ind w:firstLine="567"/>
      <w:rPr>
        <w:sz w:val="15"/>
        <w:szCs w:val="15"/>
      </w:rPr>
    </w:pPr>
    <w:r w:rsidRPr="00793BFC">
      <w:rPr>
        <w:noProof/>
        <w:sz w:val="15"/>
        <w:szCs w:val="15"/>
      </w:rPr>
      <w:t>Marlborough Primary School (5045) - School Strategic Plan</w:t>
    </w:r>
    <w:r w:rsidRPr="00793BFC">
      <w:rPr>
        <w:noProof/>
        <w:sz w:val="15"/>
        <w:szCs w:val="15"/>
      </w:rPr>
      <w:drawing>
        <wp:anchor distT="0" distB="0" distL="114300" distR="114300" simplePos="0" relativeHeight="251663360" behindDoc="1" locked="0" layoutInCell="1" allowOverlap="1" wp14:anchorId="3D73624F" wp14:editId="0E8F510F">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71C1CE3" w14:textId="77777777" w:rsidR="007B2B29"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F738" w14:textId="77777777" w:rsidR="00A936C5" w:rsidRDefault="00A936C5">
      <w:pPr>
        <w:spacing w:after="0" w:line="240" w:lineRule="auto"/>
      </w:pPr>
      <w:r>
        <w:separator/>
      </w:r>
    </w:p>
  </w:footnote>
  <w:footnote w:type="continuationSeparator" w:id="0">
    <w:p w14:paraId="39A7C3D6" w14:textId="77777777" w:rsidR="00A936C5" w:rsidRDefault="00A93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0DBB" w14:textId="77777777" w:rsidR="007166AE" w:rsidRDefault="00000000">
    <w:r>
      <w:rPr>
        <w:noProof/>
      </w:rPr>
      <mc:AlternateContent>
        <mc:Choice Requires="wps">
          <w:drawing>
            <wp:anchor distT="0" distB="0" distL="114300" distR="114300" simplePos="0" relativeHeight="251666432" behindDoc="0" locked="0" layoutInCell="1" allowOverlap="1" wp14:anchorId="0683BC52" wp14:editId="06DC4573">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A20BD3D"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683BC52"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0A20BD3D"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30D" w14:textId="77777777" w:rsidR="007166AE" w:rsidRDefault="00000000">
    <w:pPr>
      <w:pStyle w:val="Header"/>
    </w:pPr>
    <w:r w:rsidRPr="000C104E">
      <w:rPr>
        <w:noProof/>
        <w:lang w:val="en-AU" w:eastAsia="en-AU"/>
      </w:rPr>
      <w:drawing>
        <wp:anchor distT="0" distB="0" distL="114300" distR="114300" simplePos="0" relativeHeight="251672576" behindDoc="1" locked="0" layoutInCell="1" allowOverlap="1" wp14:anchorId="4B60EDF8" wp14:editId="60962ED7">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D67A9B5" w14:textId="77777777" w:rsidR="007166A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D5CF" w14:textId="77777777" w:rsidR="007166AE" w:rsidRDefault="00000000">
    <w:r>
      <w:rPr>
        <w:noProof/>
      </w:rPr>
      <mc:AlternateContent>
        <mc:Choice Requires="wps">
          <w:drawing>
            <wp:anchor distT="0" distB="0" distL="114300" distR="114300" simplePos="0" relativeHeight="251664384" behindDoc="0" locked="0" layoutInCell="1" allowOverlap="1" wp14:anchorId="20F264BB" wp14:editId="0E0F2803">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DF9784"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0F264BB"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52DF9784"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0858" w14:textId="77777777" w:rsidR="007166AE" w:rsidRDefault="00000000">
    <w:r>
      <w:rPr>
        <w:noProof/>
        <w:lang w:val="en-AU" w:eastAsia="en-AU"/>
      </w:rPr>
      <mc:AlternateContent>
        <mc:Choice Requires="wps">
          <w:drawing>
            <wp:anchor distT="0" distB="0" distL="114300" distR="114300" simplePos="0" relativeHeight="251670528" behindDoc="0" locked="0" layoutInCell="1" allowOverlap="1" wp14:anchorId="767EB8E7" wp14:editId="7688707F">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2DF258"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7EB8E7"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1A2DF258"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5A81" w14:textId="77777777" w:rsidR="007166AE" w:rsidRDefault="00000000">
    <w:r w:rsidRPr="000C104E">
      <w:rPr>
        <w:noProof/>
        <w:lang w:val="en-AU" w:eastAsia="en-AU"/>
      </w:rPr>
      <w:drawing>
        <wp:anchor distT="0" distB="0" distL="114300" distR="114300" simplePos="0" relativeHeight="251673600" behindDoc="1" locked="0" layoutInCell="1" allowOverlap="1" wp14:anchorId="6B50BEA1" wp14:editId="13AE287E">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7A6F" w14:textId="77777777" w:rsidR="007166AE" w:rsidRDefault="00000000">
    <w:r>
      <w:rPr>
        <w:noProof/>
        <w:lang w:val="en-AU" w:eastAsia="en-AU"/>
      </w:rPr>
      <mc:AlternateContent>
        <mc:Choice Requires="wps">
          <w:drawing>
            <wp:anchor distT="0" distB="0" distL="114300" distR="114300" simplePos="0" relativeHeight="251668480" behindDoc="0" locked="0" layoutInCell="1" allowOverlap="1" wp14:anchorId="341F33D1" wp14:editId="2C139D43">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541A593"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41F33D1"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5541A593"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8FD" w14:textId="77777777" w:rsidR="00180DD4" w:rsidRDefault="00000000">
    <w:r>
      <w:rPr>
        <w:noProof/>
      </w:rPr>
      <mc:AlternateContent>
        <mc:Choice Requires="wps">
          <w:drawing>
            <wp:anchor distT="0" distB="0" distL="114300" distR="114300" simplePos="0" relativeHeight="251660288" behindDoc="0" locked="0" layoutInCell="1" allowOverlap="1" wp14:anchorId="0784DFFF" wp14:editId="0F91E626">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6556844"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784DFFF"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26556844"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1DA9" w14:textId="77777777" w:rsidR="000F4C22" w:rsidRPr="003E29B5" w:rsidRDefault="00000000" w:rsidP="008766A4">
    <w:r w:rsidRPr="000C104E">
      <w:rPr>
        <w:noProof/>
      </w:rPr>
      <w:drawing>
        <wp:anchor distT="0" distB="0" distL="114300" distR="114300" simplePos="0" relativeHeight="251662336" behindDoc="1" locked="0" layoutInCell="1" allowOverlap="1" wp14:anchorId="6B36EF3B" wp14:editId="3584A9D0">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B85DCBF"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C7B4" w14:textId="77777777" w:rsidR="00180DD4" w:rsidRDefault="00000000">
    <w:r>
      <w:rPr>
        <w:noProof/>
      </w:rPr>
      <mc:AlternateContent>
        <mc:Choice Requires="wps">
          <w:drawing>
            <wp:anchor distT="0" distB="0" distL="114300" distR="114300" simplePos="0" relativeHeight="251658240" behindDoc="0" locked="0" layoutInCell="1" allowOverlap="1" wp14:anchorId="2B25768E" wp14:editId="5741F1B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23C392"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B25768E"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1B23C392"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19C752A">
      <w:start w:val="1"/>
      <w:numFmt w:val="bullet"/>
      <w:pStyle w:val="ESBulletsinTable"/>
      <w:lvlText w:val=""/>
      <w:lvlJc w:val="left"/>
      <w:pPr>
        <w:ind w:left="360" w:hanging="360"/>
      </w:pPr>
      <w:rPr>
        <w:rFonts w:ascii="Symbol" w:hAnsi="Symbol" w:hint="default"/>
        <w:color w:val="AF272F"/>
      </w:rPr>
    </w:lvl>
    <w:lvl w:ilvl="1" w:tplc="30102A26">
      <w:start w:val="1"/>
      <w:numFmt w:val="bullet"/>
      <w:pStyle w:val="ESBulletsinTableLevel2"/>
      <w:lvlText w:val="o"/>
      <w:lvlJc w:val="left"/>
      <w:pPr>
        <w:ind w:left="1440" w:hanging="360"/>
      </w:pPr>
      <w:rPr>
        <w:rFonts w:ascii="Courier New" w:hAnsi="Courier New" w:cs="Courier New" w:hint="default"/>
      </w:rPr>
    </w:lvl>
    <w:lvl w:ilvl="2" w:tplc="6BE24B90" w:tentative="1">
      <w:start w:val="1"/>
      <w:numFmt w:val="bullet"/>
      <w:lvlText w:val=""/>
      <w:lvlJc w:val="left"/>
      <w:pPr>
        <w:ind w:left="2160" w:hanging="360"/>
      </w:pPr>
      <w:rPr>
        <w:rFonts w:ascii="Wingdings" w:hAnsi="Wingdings" w:hint="default"/>
      </w:rPr>
    </w:lvl>
    <w:lvl w:ilvl="3" w:tplc="23DC02A0" w:tentative="1">
      <w:start w:val="1"/>
      <w:numFmt w:val="bullet"/>
      <w:lvlText w:val=""/>
      <w:lvlJc w:val="left"/>
      <w:pPr>
        <w:ind w:left="2880" w:hanging="360"/>
      </w:pPr>
      <w:rPr>
        <w:rFonts w:ascii="Symbol" w:hAnsi="Symbol" w:hint="default"/>
      </w:rPr>
    </w:lvl>
    <w:lvl w:ilvl="4" w:tplc="33521DB2" w:tentative="1">
      <w:start w:val="1"/>
      <w:numFmt w:val="bullet"/>
      <w:lvlText w:val="o"/>
      <w:lvlJc w:val="left"/>
      <w:pPr>
        <w:ind w:left="3600" w:hanging="360"/>
      </w:pPr>
      <w:rPr>
        <w:rFonts w:ascii="Courier New" w:hAnsi="Courier New" w:cs="Courier New" w:hint="default"/>
      </w:rPr>
    </w:lvl>
    <w:lvl w:ilvl="5" w:tplc="B3B2221A" w:tentative="1">
      <w:start w:val="1"/>
      <w:numFmt w:val="bullet"/>
      <w:lvlText w:val=""/>
      <w:lvlJc w:val="left"/>
      <w:pPr>
        <w:ind w:left="4320" w:hanging="360"/>
      </w:pPr>
      <w:rPr>
        <w:rFonts w:ascii="Wingdings" w:hAnsi="Wingdings" w:hint="default"/>
      </w:rPr>
    </w:lvl>
    <w:lvl w:ilvl="6" w:tplc="95B27110" w:tentative="1">
      <w:start w:val="1"/>
      <w:numFmt w:val="bullet"/>
      <w:lvlText w:val=""/>
      <w:lvlJc w:val="left"/>
      <w:pPr>
        <w:ind w:left="5040" w:hanging="360"/>
      </w:pPr>
      <w:rPr>
        <w:rFonts w:ascii="Symbol" w:hAnsi="Symbol" w:hint="default"/>
      </w:rPr>
    </w:lvl>
    <w:lvl w:ilvl="7" w:tplc="E6ECAB6A" w:tentative="1">
      <w:start w:val="1"/>
      <w:numFmt w:val="bullet"/>
      <w:lvlText w:val="o"/>
      <w:lvlJc w:val="left"/>
      <w:pPr>
        <w:ind w:left="5760" w:hanging="360"/>
      </w:pPr>
      <w:rPr>
        <w:rFonts w:ascii="Courier New" w:hAnsi="Courier New" w:cs="Courier New" w:hint="default"/>
      </w:rPr>
    </w:lvl>
    <w:lvl w:ilvl="8" w:tplc="9138865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EDADD4A">
      <w:start w:val="1"/>
      <w:numFmt w:val="bullet"/>
      <w:lvlText w:val=""/>
      <w:lvlJc w:val="left"/>
      <w:pPr>
        <w:ind w:left="720" w:hanging="360"/>
      </w:pPr>
      <w:rPr>
        <w:rFonts w:ascii="Symbol" w:hAnsi="Symbol"/>
      </w:rPr>
    </w:lvl>
    <w:lvl w:ilvl="1" w:tplc="F244AB94">
      <w:start w:val="1"/>
      <w:numFmt w:val="bullet"/>
      <w:lvlText w:val="o"/>
      <w:lvlJc w:val="left"/>
      <w:pPr>
        <w:tabs>
          <w:tab w:val="num" w:pos="1440"/>
        </w:tabs>
        <w:ind w:left="1440" w:hanging="360"/>
      </w:pPr>
      <w:rPr>
        <w:rFonts w:ascii="Courier New" w:hAnsi="Courier New"/>
      </w:rPr>
    </w:lvl>
    <w:lvl w:ilvl="2" w:tplc="BB9CF89E">
      <w:start w:val="1"/>
      <w:numFmt w:val="bullet"/>
      <w:lvlText w:val=""/>
      <w:lvlJc w:val="left"/>
      <w:pPr>
        <w:tabs>
          <w:tab w:val="num" w:pos="2160"/>
        </w:tabs>
        <w:ind w:left="2160" w:hanging="360"/>
      </w:pPr>
      <w:rPr>
        <w:rFonts w:ascii="Wingdings" w:hAnsi="Wingdings"/>
      </w:rPr>
    </w:lvl>
    <w:lvl w:ilvl="3" w:tplc="51D4C176">
      <w:start w:val="1"/>
      <w:numFmt w:val="bullet"/>
      <w:lvlText w:val=""/>
      <w:lvlJc w:val="left"/>
      <w:pPr>
        <w:tabs>
          <w:tab w:val="num" w:pos="2880"/>
        </w:tabs>
        <w:ind w:left="2880" w:hanging="360"/>
      </w:pPr>
      <w:rPr>
        <w:rFonts w:ascii="Symbol" w:hAnsi="Symbol"/>
      </w:rPr>
    </w:lvl>
    <w:lvl w:ilvl="4" w:tplc="56BE1170">
      <w:start w:val="1"/>
      <w:numFmt w:val="bullet"/>
      <w:lvlText w:val="o"/>
      <w:lvlJc w:val="left"/>
      <w:pPr>
        <w:tabs>
          <w:tab w:val="num" w:pos="3600"/>
        </w:tabs>
        <w:ind w:left="3600" w:hanging="360"/>
      </w:pPr>
      <w:rPr>
        <w:rFonts w:ascii="Courier New" w:hAnsi="Courier New"/>
      </w:rPr>
    </w:lvl>
    <w:lvl w:ilvl="5" w:tplc="7082927A">
      <w:start w:val="1"/>
      <w:numFmt w:val="bullet"/>
      <w:lvlText w:val=""/>
      <w:lvlJc w:val="left"/>
      <w:pPr>
        <w:tabs>
          <w:tab w:val="num" w:pos="4320"/>
        </w:tabs>
        <w:ind w:left="4320" w:hanging="360"/>
      </w:pPr>
      <w:rPr>
        <w:rFonts w:ascii="Wingdings" w:hAnsi="Wingdings"/>
      </w:rPr>
    </w:lvl>
    <w:lvl w:ilvl="6" w:tplc="EA6A6154">
      <w:start w:val="1"/>
      <w:numFmt w:val="bullet"/>
      <w:lvlText w:val=""/>
      <w:lvlJc w:val="left"/>
      <w:pPr>
        <w:tabs>
          <w:tab w:val="num" w:pos="5040"/>
        </w:tabs>
        <w:ind w:left="5040" w:hanging="360"/>
      </w:pPr>
      <w:rPr>
        <w:rFonts w:ascii="Symbol" w:hAnsi="Symbol"/>
      </w:rPr>
    </w:lvl>
    <w:lvl w:ilvl="7" w:tplc="6890F3A8">
      <w:start w:val="1"/>
      <w:numFmt w:val="bullet"/>
      <w:lvlText w:val="o"/>
      <w:lvlJc w:val="left"/>
      <w:pPr>
        <w:tabs>
          <w:tab w:val="num" w:pos="5760"/>
        </w:tabs>
        <w:ind w:left="5760" w:hanging="360"/>
      </w:pPr>
      <w:rPr>
        <w:rFonts w:ascii="Courier New" w:hAnsi="Courier New"/>
      </w:rPr>
    </w:lvl>
    <w:lvl w:ilvl="8" w:tplc="15DCE9E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F8381F1C">
      <w:start w:val="1"/>
      <w:numFmt w:val="bullet"/>
      <w:lvlText w:val=""/>
      <w:lvlJc w:val="left"/>
      <w:pPr>
        <w:ind w:left="720" w:hanging="360"/>
      </w:pPr>
      <w:rPr>
        <w:rFonts w:ascii="Symbol" w:hAnsi="Symbol"/>
      </w:rPr>
    </w:lvl>
    <w:lvl w:ilvl="1" w:tplc="C524ABB4">
      <w:start w:val="1"/>
      <w:numFmt w:val="bullet"/>
      <w:lvlText w:val="o"/>
      <w:lvlJc w:val="left"/>
      <w:pPr>
        <w:tabs>
          <w:tab w:val="num" w:pos="1440"/>
        </w:tabs>
        <w:ind w:left="1440" w:hanging="360"/>
      </w:pPr>
      <w:rPr>
        <w:rFonts w:ascii="Courier New" w:hAnsi="Courier New"/>
      </w:rPr>
    </w:lvl>
    <w:lvl w:ilvl="2" w:tplc="992E06F8">
      <w:start w:val="1"/>
      <w:numFmt w:val="bullet"/>
      <w:lvlText w:val=""/>
      <w:lvlJc w:val="left"/>
      <w:pPr>
        <w:tabs>
          <w:tab w:val="num" w:pos="2160"/>
        </w:tabs>
        <w:ind w:left="2160" w:hanging="360"/>
      </w:pPr>
      <w:rPr>
        <w:rFonts w:ascii="Wingdings" w:hAnsi="Wingdings"/>
      </w:rPr>
    </w:lvl>
    <w:lvl w:ilvl="3" w:tplc="D23CDE0E">
      <w:start w:val="1"/>
      <w:numFmt w:val="bullet"/>
      <w:lvlText w:val=""/>
      <w:lvlJc w:val="left"/>
      <w:pPr>
        <w:tabs>
          <w:tab w:val="num" w:pos="2880"/>
        </w:tabs>
        <w:ind w:left="2880" w:hanging="360"/>
      </w:pPr>
      <w:rPr>
        <w:rFonts w:ascii="Symbol" w:hAnsi="Symbol"/>
      </w:rPr>
    </w:lvl>
    <w:lvl w:ilvl="4" w:tplc="5594930C">
      <w:start w:val="1"/>
      <w:numFmt w:val="bullet"/>
      <w:lvlText w:val="o"/>
      <w:lvlJc w:val="left"/>
      <w:pPr>
        <w:tabs>
          <w:tab w:val="num" w:pos="3600"/>
        </w:tabs>
        <w:ind w:left="3600" w:hanging="360"/>
      </w:pPr>
      <w:rPr>
        <w:rFonts w:ascii="Courier New" w:hAnsi="Courier New"/>
      </w:rPr>
    </w:lvl>
    <w:lvl w:ilvl="5" w:tplc="A4DAC15E">
      <w:start w:val="1"/>
      <w:numFmt w:val="bullet"/>
      <w:lvlText w:val=""/>
      <w:lvlJc w:val="left"/>
      <w:pPr>
        <w:tabs>
          <w:tab w:val="num" w:pos="4320"/>
        </w:tabs>
        <w:ind w:left="4320" w:hanging="360"/>
      </w:pPr>
      <w:rPr>
        <w:rFonts w:ascii="Wingdings" w:hAnsi="Wingdings"/>
      </w:rPr>
    </w:lvl>
    <w:lvl w:ilvl="6" w:tplc="C9ECDF8A">
      <w:start w:val="1"/>
      <w:numFmt w:val="bullet"/>
      <w:lvlText w:val=""/>
      <w:lvlJc w:val="left"/>
      <w:pPr>
        <w:tabs>
          <w:tab w:val="num" w:pos="5040"/>
        </w:tabs>
        <w:ind w:left="5040" w:hanging="360"/>
      </w:pPr>
      <w:rPr>
        <w:rFonts w:ascii="Symbol" w:hAnsi="Symbol"/>
      </w:rPr>
    </w:lvl>
    <w:lvl w:ilvl="7" w:tplc="68364BB6">
      <w:start w:val="1"/>
      <w:numFmt w:val="bullet"/>
      <w:lvlText w:val="o"/>
      <w:lvlJc w:val="left"/>
      <w:pPr>
        <w:tabs>
          <w:tab w:val="num" w:pos="5760"/>
        </w:tabs>
        <w:ind w:left="5760" w:hanging="360"/>
      </w:pPr>
      <w:rPr>
        <w:rFonts w:ascii="Courier New" w:hAnsi="Courier New"/>
      </w:rPr>
    </w:lvl>
    <w:lvl w:ilvl="8" w:tplc="F9DAE43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8CECA9BC">
      <w:start w:val="1"/>
      <w:numFmt w:val="bullet"/>
      <w:lvlText w:val=""/>
      <w:lvlJc w:val="left"/>
      <w:pPr>
        <w:ind w:left="720" w:hanging="360"/>
      </w:pPr>
      <w:rPr>
        <w:rFonts w:ascii="Symbol" w:hAnsi="Symbol"/>
      </w:rPr>
    </w:lvl>
    <w:lvl w:ilvl="1" w:tplc="0E86A6B4">
      <w:start w:val="1"/>
      <w:numFmt w:val="bullet"/>
      <w:lvlText w:val="o"/>
      <w:lvlJc w:val="left"/>
      <w:pPr>
        <w:tabs>
          <w:tab w:val="num" w:pos="1440"/>
        </w:tabs>
        <w:ind w:left="1440" w:hanging="360"/>
      </w:pPr>
      <w:rPr>
        <w:rFonts w:ascii="Courier New" w:hAnsi="Courier New"/>
      </w:rPr>
    </w:lvl>
    <w:lvl w:ilvl="2" w:tplc="ECFE7156">
      <w:start w:val="1"/>
      <w:numFmt w:val="bullet"/>
      <w:lvlText w:val=""/>
      <w:lvlJc w:val="left"/>
      <w:pPr>
        <w:tabs>
          <w:tab w:val="num" w:pos="2160"/>
        </w:tabs>
        <w:ind w:left="2160" w:hanging="360"/>
      </w:pPr>
      <w:rPr>
        <w:rFonts w:ascii="Wingdings" w:hAnsi="Wingdings"/>
      </w:rPr>
    </w:lvl>
    <w:lvl w:ilvl="3" w:tplc="8CE0DCA2">
      <w:start w:val="1"/>
      <w:numFmt w:val="bullet"/>
      <w:lvlText w:val=""/>
      <w:lvlJc w:val="left"/>
      <w:pPr>
        <w:tabs>
          <w:tab w:val="num" w:pos="2880"/>
        </w:tabs>
        <w:ind w:left="2880" w:hanging="360"/>
      </w:pPr>
      <w:rPr>
        <w:rFonts w:ascii="Symbol" w:hAnsi="Symbol"/>
      </w:rPr>
    </w:lvl>
    <w:lvl w:ilvl="4" w:tplc="E4CE4E32">
      <w:start w:val="1"/>
      <w:numFmt w:val="bullet"/>
      <w:lvlText w:val="o"/>
      <w:lvlJc w:val="left"/>
      <w:pPr>
        <w:tabs>
          <w:tab w:val="num" w:pos="3600"/>
        </w:tabs>
        <w:ind w:left="3600" w:hanging="360"/>
      </w:pPr>
      <w:rPr>
        <w:rFonts w:ascii="Courier New" w:hAnsi="Courier New"/>
      </w:rPr>
    </w:lvl>
    <w:lvl w:ilvl="5" w:tplc="61124EB0">
      <w:start w:val="1"/>
      <w:numFmt w:val="bullet"/>
      <w:lvlText w:val=""/>
      <w:lvlJc w:val="left"/>
      <w:pPr>
        <w:tabs>
          <w:tab w:val="num" w:pos="4320"/>
        </w:tabs>
        <w:ind w:left="4320" w:hanging="360"/>
      </w:pPr>
      <w:rPr>
        <w:rFonts w:ascii="Wingdings" w:hAnsi="Wingdings"/>
      </w:rPr>
    </w:lvl>
    <w:lvl w:ilvl="6" w:tplc="44AE3FA0">
      <w:start w:val="1"/>
      <w:numFmt w:val="bullet"/>
      <w:lvlText w:val=""/>
      <w:lvlJc w:val="left"/>
      <w:pPr>
        <w:tabs>
          <w:tab w:val="num" w:pos="5040"/>
        </w:tabs>
        <w:ind w:left="5040" w:hanging="360"/>
      </w:pPr>
      <w:rPr>
        <w:rFonts w:ascii="Symbol" w:hAnsi="Symbol"/>
      </w:rPr>
    </w:lvl>
    <w:lvl w:ilvl="7" w:tplc="4B1832DC">
      <w:start w:val="1"/>
      <w:numFmt w:val="bullet"/>
      <w:lvlText w:val="o"/>
      <w:lvlJc w:val="left"/>
      <w:pPr>
        <w:tabs>
          <w:tab w:val="num" w:pos="5760"/>
        </w:tabs>
        <w:ind w:left="5760" w:hanging="360"/>
      </w:pPr>
      <w:rPr>
        <w:rFonts w:ascii="Courier New" w:hAnsi="Courier New"/>
      </w:rPr>
    </w:lvl>
    <w:lvl w:ilvl="8" w:tplc="8CBC6D10">
      <w:start w:val="1"/>
      <w:numFmt w:val="bullet"/>
      <w:lvlText w:val=""/>
      <w:lvlJc w:val="left"/>
      <w:pPr>
        <w:tabs>
          <w:tab w:val="num" w:pos="6480"/>
        </w:tabs>
        <w:ind w:left="6480" w:hanging="360"/>
      </w:pPr>
      <w:rPr>
        <w:rFonts w:ascii="Wingdings" w:hAnsi="Wingdings"/>
      </w:rPr>
    </w:lvl>
  </w:abstractNum>
  <w:num w:numId="1" w16cid:durableId="1533034779">
    <w:abstractNumId w:val="10"/>
  </w:num>
  <w:num w:numId="2" w16cid:durableId="311106647">
    <w:abstractNumId w:val="8"/>
  </w:num>
  <w:num w:numId="3" w16cid:durableId="1880360370">
    <w:abstractNumId w:val="7"/>
  </w:num>
  <w:num w:numId="4" w16cid:durableId="1208031575">
    <w:abstractNumId w:val="6"/>
  </w:num>
  <w:num w:numId="5" w16cid:durableId="1658027867">
    <w:abstractNumId w:val="5"/>
  </w:num>
  <w:num w:numId="6" w16cid:durableId="668095230">
    <w:abstractNumId w:val="9"/>
  </w:num>
  <w:num w:numId="7" w16cid:durableId="2007172633">
    <w:abstractNumId w:val="4"/>
  </w:num>
  <w:num w:numId="8" w16cid:durableId="167332098">
    <w:abstractNumId w:val="3"/>
  </w:num>
  <w:num w:numId="9" w16cid:durableId="2143186759">
    <w:abstractNumId w:val="2"/>
  </w:num>
  <w:num w:numId="10" w16cid:durableId="282006530">
    <w:abstractNumId w:val="1"/>
  </w:num>
  <w:num w:numId="11" w16cid:durableId="869033547">
    <w:abstractNumId w:val="0"/>
  </w:num>
  <w:num w:numId="12" w16cid:durableId="477966259">
    <w:abstractNumId w:val="11"/>
  </w:num>
  <w:num w:numId="13" w16cid:durableId="1535071880">
    <w:abstractNumId w:val="16"/>
  </w:num>
  <w:num w:numId="14" w16cid:durableId="1016467422">
    <w:abstractNumId w:val="14"/>
  </w:num>
  <w:num w:numId="15" w16cid:durableId="1072047610">
    <w:abstractNumId w:val="15"/>
  </w:num>
  <w:num w:numId="16" w16cid:durableId="630214714">
    <w:abstractNumId w:val="12"/>
  </w:num>
  <w:num w:numId="17" w16cid:durableId="827092566">
    <w:abstractNumId w:val="13"/>
  </w:num>
  <w:num w:numId="18" w16cid:durableId="271713235">
    <w:abstractNumId w:val="17"/>
  </w:num>
  <w:num w:numId="19" w16cid:durableId="1110272568">
    <w:abstractNumId w:val="18"/>
  </w:num>
  <w:num w:numId="20" w16cid:durableId="1505703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E6"/>
    <w:rsid w:val="00466FE6"/>
    <w:rsid w:val="00A936C5"/>
    <w:rsid w:val="00D7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BFBA"/>
  <w15:docId w15:val="{C526A40B-3E70-468B-9B59-BB66EC8F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Sharon Jacobs</cp:lastModifiedBy>
  <cp:revision>2</cp:revision>
  <dcterms:created xsi:type="dcterms:W3CDTF">2023-04-24T03:45:00Z</dcterms:created>
  <dcterms:modified xsi:type="dcterms:W3CDTF">2023-04-24T03:45:00Z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